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7" w:rsidRDefault="009B6647" w:rsidP="009B6647">
      <w:pPr>
        <w:tabs>
          <w:tab w:val="left" w:pos="0"/>
        </w:tabs>
        <w:jc w:val="both"/>
        <w:rPr>
          <w:rFonts w:ascii="LitNusx" w:hAnsi="LitNusx" w:cs="LitNusx"/>
          <w:sz w:val="26"/>
          <w:szCs w:val="26"/>
        </w:rPr>
      </w:pPr>
      <w:r>
        <w:rPr>
          <w:rFonts w:ascii="LitNusx" w:hAnsi="LitNusx" w:cs="LitNusx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-419100</wp:posOffset>
            </wp:positionV>
            <wp:extent cx="1257300" cy="1133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647" w:rsidRDefault="009B6647" w:rsidP="009B6647">
      <w:pPr>
        <w:tabs>
          <w:tab w:val="left" w:pos="0"/>
        </w:tabs>
        <w:jc w:val="center"/>
        <w:rPr>
          <w:rFonts w:ascii="LitNusx" w:hAnsi="LitNusx" w:cs="LitNusx"/>
          <w:sz w:val="26"/>
          <w:szCs w:val="26"/>
          <w:lang w:val="af-ZA"/>
        </w:rPr>
      </w:pPr>
    </w:p>
    <w:p w:rsidR="009B6647" w:rsidRPr="009B6647" w:rsidRDefault="009B6647" w:rsidP="009B6647">
      <w:pPr>
        <w:jc w:val="center"/>
        <w:rPr>
          <w:rFonts w:ascii="Sylfaen" w:hAnsi="Sylfaen"/>
          <w:b/>
          <w:sz w:val="32"/>
          <w:lang w:val="ka-GE"/>
        </w:rPr>
      </w:pPr>
      <w:r w:rsidRPr="009B6647">
        <w:rPr>
          <w:rFonts w:ascii="Sylfaen" w:hAnsi="Sylfaen" w:cs="Sylfaen"/>
          <w:b/>
          <w:noProof/>
          <w:sz w:val="32"/>
          <w:lang w:val="en-GB"/>
        </w:rPr>
        <w:t>ხაშურის</w:t>
      </w:r>
      <w:r w:rsidRPr="009B6647">
        <w:rPr>
          <w:rFonts w:ascii="AcadMtavr" w:hAnsi="AcadMtavr"/>
          <w:b/>
          <w:noProof/>
          <w:sz w:val="32"/>
          <w:lang w:val="en-GB"/>
        </w:rPr>
        <w:t xml:space="preserve"> </w:t>
      </w:r>
      <w:r w:rsidRPr="009B6647">
        <w:rPr>
          <w:rFonts w:ascii="Sylfaen" w:hAnsi="Sylfaen" w:cs="Sylfaen"/>
          <w:b/>
          <w:noProof/>
          <w:sz w:val="32"/>
          <w:lang w:val="en-GB"/>
        </w:rPr>
        <w:t>რაიონული</w:t>
      </w:r>
      <w:r w:rsidRPr="009B6647">
        <w:rPr>
          <w:rFonts w:ascii="AcadMtavr" w:hAnsi="AcadMtavr"/>
          <w:b/>
          <w:noProof/>
          <w:sz w:val="32"/>
          <w:lang w:val="en-GB"/>
        </w:rPr>
        <w:t xml:space="preserve"> </w:t>
      </w:r>
      <w:r w:rsidRPr="009B6647">
        <w:rPr>
          <w:rFonts w:ascii="Sylfaen" w:hAnsi="Sylfaen" w:cs="Sylfaen"/>
          <w:b/>
          <w:noProof/>
          <w:sz w:val="32"/>
          <w:lang w:val="en-GB"/>
        </w:rPr>
        <w:t>სასამართლოს</w:t>
      </w:r>
      <w:r w:rsidRPr="009B6647">
        <w:rPr>
          <w:rFonts w:ascii="AcadMtavr" w:hAnsi="AcadMtavr"/>
          <w:b/>
          <w:noProof/>
          <w:sz w:val="32"/>
          <w:lang w:val="en-GB"/>
        </w:rPr>
        <w:t xml:space="preserve"> </w:t>
      </w:r>
      <w:r w:rsidRPr="009B6647">
        <w:rPr>
          <w:rFonts w:ascii="Sylfaen" w:hAnsi="Sylfaen" w:cs="Sylfaen"/>
          <w:b/>
          <w:noProof/>
          <w:sz w:val="32"/>
          <w:lang w:val="en-GB"/>
        </w:rPr>
        <w:t>თავმჯდომარე</w:t>
      </w:r>
    </w:p>
    <w:p w:rsidR="009B6647" w:rsidRDefault="009B6647" w:rsidP="009B6647">
      <w:pPr>
        <w:spacing w:line="360" w:lineRule="auto"/>
        <w:jc w:val="center"/>
        <w:rPr>
          <w:rFonts w:ascii="AcadMtavr" w:hAnsi="AcadMtavr"/>
          <w:b/>
          <w:bCs/>
          <w:noProof/>
          <w:sz w:val="32"/>
          <w:szCs w:val="34"/>
          <w:lang w:val="en-GB"/>
        </w:rPr>
      </w:pPr>
      <w:r>
        <w:pict>
          <v:line id="_x0000_s1026" style="position:absolute;left:0;text-align:left;z-index:251660288" from="-9pt,4.1pt" to="486.55pt,4.1pt" strokeweight="4.5pt">
            <v:stroke linestyle="thickThin"/>
          </v:line>
        </w:pict>
      </w:r>
    </w:p>
    <w:p w:rsidR="003208B2" w:rsidRDefault="009B6647" w:rsidP="009B6647">
      <w:pPr>
        <w:jc w:val="center"/>
        <w:rPr>
          <w:rFonts w:ascii="Sylfaen" w:hAnsi="Sylfaen" w:cs="Sylfaen"/>
          <w:b/>
          <w:bCs/>
          <w:noProof/>
          <w:sz w:val="32"/>
          <w:szCs w:val="34"/>
          <w:lang w:val="ka-GE"/>
        </w:rPr>
      </w:pP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ბ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რ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ძ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ა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ნ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ე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ბ</w:t>
      </w:r>
      <w:r w:rsidRPr="009B6647">
        <w:rPr>
          <w:rFonts w:ascii="AcadMtavr" w:hAnsi="AcadMtavr"/>
          <w:b/>
          <w:bCs/>
          <w:noProof/>
          <w:sz w:val="32"/>
          <w:szCs w:val="34"/>
          <w:lang w:val="en-GB"/>
        </w:rPr>
        <w:t xml:space="preserve"> </w:t>
      </w:r>
      <w:r w:rsidRPr="009B6647">
        <w:rPr>
          <w:rFonts w:ascii="Sylfaen" w:hAnsi="Sylfaen" w:cs="Sylfaen"/>
          <w:b/>
          <w:bCs/>
          <w:noProof/>
          <w:sz w:val="32"/>
          <w:szCs w:val="34"/>
          <w:lang w:val="en-GB"/>
        </w:rPr>
        <w:t>ა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>N2                                                                                                  16 იანვარი 2012 წელი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ქ. ხაშური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 xml:space="preserve">ხაშურის რაიონულ სასამართლოში საზოგადოებრივი წესრიგის 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>უზრუნველყოფის ღონისძიების შესახებ ბრძანებაში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>დამატების შეტანის შესახებ</w:t>
      </w:r>
    </w:p>
    <w:p w:rsidR="009B6647" w:rsidRDefault="009B6647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საქართველოს ზოგადი ადმინისტრაციული კოდექსის 63-ე მუხლის საფუძველზე</w:t>
      </w:r>
    </w:p>
    <w:p w:rsidR="009B6647" w:rsidRPr="00A5007E" w:rsidRDefault="009B6647" w:rsidP="009B6647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5007E">
        <w:rPr>
          <w:rFonts w:ascii="Sylfaen" w:hAnsi="Sylfaen"/>
          <w:b/>
          <w:sz w:val="24"/>
          <w:szCs w:val="24"/>
          <w:lang w:val="ka-GE"/>
        </w:rPr>
        <w:t>ვ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ბ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რ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ძ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ა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ნ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ე</w:t>
      </w:r>
      <w:r w:rsidR="00A5007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5007E">
        <w:rPr>
          <w:rFonts w:ascii="Sylfaen" w:hAnsi="Sylfaen"/>
          <w:b/>
          <w:sz w:val="24"/>
          <w:szCs w:val="24"/>
          <w:lang w:val="ka-GE"/>
        </w:rPr>
        <w:t>ბ:</w:t>
      </w:r>
    </w:p>
    <w:p w:rsidR="009B6647" w:rsidRDefault="00A5007E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1. </w:t>
      </w:r>
      <w:r w:rsidR="009B6647" w:rsidRPr="009B6647">
        <w:rPr>
          <w:rFonts w:ascii="Sylfaen" w:hAnsi="Sylfaen"/>
          <w:sz w:val="24"/>
          <w:szCs w:val="24"/>
          <w:lang w:val="ka-GE"/>
        </w:rPr>
        <w:t xml:space="preserve">,,ხაშურის რაიონულ სასამართლოში საზოგადოებრივი წესრიგის უზრუნველყოფის ღონისძიებების </w:t>
      </w:r>
      <w:proofErr w:type="spellStart"/>
      <w:r w:rsidR="009B6647" w:rsidRPr="009B6647">
        <w:rPr>
          <w:rFonts w:ascii="Sylfaen" w:hAnsi="Sylfaen"/>
          <w:sz w:val="24"/>
          <w:szCs w:val="24"/>
          <w:lang w:val="ka-GE"/>
        </w:rPr>
        <w:t>შესახებ“</w:t>
      </w:r>
      <w:proofErr w:type="spellEnd"/>
      <w:r w:rsidR="009B6647" w:rsidRPr="009B6647">
        <w:rPr>
          <w:rFonts w:ascii="Sylfaen" w:hAnsi="Sylfaen"/>
          <w:sz w:val="24"/>
          <w:szCs w:val="24"/>
          <w:lang w:val="ka-GE"/>
        </w:rPr>
        <w:t xml:space="preserve"> ხაშურის რაიონული სასამართლოს</w:t>
      </w:r>
      <w:r w:rsidR="009B6647">
        <w:rPr>
          <w:rFonts w:ascii="Sylfaen" w:hAnsi="Sylfaen"/>
          <w:sz w:val="24"/>
          <w:szCs w:val="24"/>
          <w:lang w:val="ka-GE"/>
        </w:rPr>
        <w:t xml:space="preserve"> თავმჯდომარის 2010 წლის 13 ივლისის N36 ბრძანების პირველ პუნქტს დაემატოს </w:t>
      </w:r>
      <w:r>
        <w:rPr>
          <w:rFonts w:ascii="Sylfaen" w:hAnsi="Sylfaen"/>
          <w:sz w:val="24"/>
          <w:szCs w:val="24"/>
          <w:lang w:val="ka-GE"/>
        </w:rPr>
        <w:t>შ</w:t>
      </w:r>
      <w:r w:rsidR="009B6647">
        <w:rPr>
          <w:rFonts w:ascii="Sylfaen" w:hAnsi="Sylfaen"/>
          <w:sz w:val="24"/>
          <w:szCs w:val="24"/>
          <w:lang w:val="ka-GE"/>
        </w:rPr>
        <w:t>ემდეგი შინაარსის ,,</w:t>
      </w:r>
      <w:proofErr w:type="spellStart"/>
      <w:r w:rsidR="009B6647">
        <w:rPr>
          <w:rFonts w:ascii="Sylfaen" w:hAnsi="Sylfaen"/>
          <w:sz w:val="24"/>
          <w:szCs w:val="24"/>
          <w:lang w:val="ka-GE"/>
        </w:rPr>
        <w:t>კ“</w:t>
      </w:r>
      <w:proofErr w:type="spellEnd"/>
      <w:r w:rsidR="009B6647">
        <w:rPr>
          <w:rFonts w:ascii="Sylfaen" w:hAnsi="Sylfaen"/>
          <w:sz w:val="24"/>
          <w:szCs w:val="24"/>
          <w:lang w:val="ka-GE"/>
        </w:rPr>
        <w:t xml:space="preserve"> ქვეპუნქტი: ,,კ) შეუფერებელ ფორმაში ან მდგომარეობაში </w:t>
      </w:r>
      <w:proofErr w:type="spellStart"/>
      <w:r w:rsidR="009B6647">
        <w:rPr>
          <w:rFonts w:ascii="Sylfaen" w:hAnsi="Sylfaen"/>
          <w:sz w:val="24"/>
          <w:szCs w:val="24"/>
          <w:lang w:val="ka-GE"/>
        </w:rPr>
        <w:t>გამოცხადება“</w:t>
      </w:r>
      <w:proofErr w:type="spellEnd"/>
      <w:r w:rsidR="009B6647">
        <w:rPr>
          <w:rFonts w:ascii="Sylfaen" w:hAnsi="Sylfaen"/>
          <w:sz w:val="24"/>
          <w:szCs w:val="24"/>
          <w:lang w:val="ka-GE"/>
        </w:rPr>
        <w:t>.</w:t>
      </w:r>
    </w:p>
    <w:p w:rsidR="009B6647" w:rsidRDefault="00A5007E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2. </w:t>
      </w:r>
      <w:r w:rsidR="009B6647">
        <w:rPr>
          <w:rFonts w:ascii="Sylfaen" w:hAnsi="Sylfaen"/>
          <w:sz w:val="24"/>
          <w:szCs w:val="24"/>
          <w:lang w:val="ka-GE"/>
        </w:rPr>
        <w:t>ბრძანების შესრულებაზე კონტროლი დაევალოს ხაშურის რაიონული სასამართლოს მენეჯერს.</w:t>
      </w:r>
    </w:p>
    <w:p w:rsidR="009B6647" w:rsidRDefault="00A5007E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3. </w:t>
      </w:r>
      <w:r w:rsidR="009B6647">
        <w:rPr>
          <w:rFonts w:ascii="Sylfaen" w:hAnsi="Sylfaen"/>
          <w:sz w:val="24"/>
          <w:szCs w:val="24"/>
          <w:lang w:val="ka-GE"/>
        </w:rPr>
        <w:t>ეს ბრძანება ამოქმედდეს 2012 წლის 16 იანვრიდან.</w:t>
      </w:r>
    </w:p>
    <w:p w:rsidR="009B6647" w:rsidRDefault="009B6647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9B6647" w:rsidRDefault="009B6647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</w:p>
    <w:p w:rsidR="009B6647" w:rsidRDefault="009B6647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მევლუდ </w:t>
      </w:r>
      <w:proofErr w:type="spellStart"/>
      <w:r>
        <w:rPr>
          <w:rFonts w:ascii="Sylfaen" w:hAnsi="Sylfaen"/>
          <w:sz w:val="24"/>
          <w:szCs w:val="24"/>
          <w:lang w:val="ka-GE"/>
        </w:rPr>
        <w:t>ხათაშვილი</w:t>
      </w:r>
      <w:proofErr w:type="spellEnd"/>
    </w:p>
    <w:p w:rsidR="009B6647" w:rsidRPr="009B6647" w:rsidRDefault="009B6647" w:rsidP="009B6647">
      <w:pPr>
        <w:ind w:firstLine="426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თავმჯდომარის </w:t>
      </w:r>
      <w:proofErr w:type="spellStart"/>
      <w:r>
        <w:rPr>
          <w:rFonts w:ascii="Sylfaen" w:hAnsi="Sylfaen"/>
          <w:sz w:val="24"/>
          <w:szCs w:val="24"/>
          <w:lang w:val="ka-GE"/>
        </w:rPr>
        <w:t>მოვალების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შემსრულებელი</w:t>
      </w:r>
    </w:p>
    <w:sectPr w:rsidR="009B6647" w:rsidRPr="009B6647" w:rsidSect="00320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0EE"/>
    <w:multiLevelType w:val="hybridMultilevel"/>
    <w:tmpl w:val="900EF9D0"/>
    <w:lvl w:ilvl="0" w:tplc="0AD4B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647"/>
    <w:rsid w:val="003208B2"/>
    <w:rsid w:val="009B6647"/>
    <w:rsid w:val="00A5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m.khatashvili</dc:creator>
  <cp:keywords/>
  <dc:description/>
  <cp:lastModifiedBy>m.khatashvili</cp:lastModifiedBy>
  <cp:revision>2</cp:revision>
  <dcterms:created xsi:type="dcterms:W3CDTF">2012-05-01T11:06:00Z</dcterms:created>
  <dcterms:modified xsi:type="dcterms:W3CDTF">2012-05-01T11:18:00Z</dcterms:modified>
</cp:coreProperties>
</file>